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A02" w:rsidRDefault="0066772F">
      <w:r>
        <w:t xml:space="preserve">     </w:t>
      </w:r>
    </w:p>
    <w:p w:rsidR="007B3A02" w:rsidRDefault="007B3A02">
      <w:r>
        <w:t>Jernbanedirektoratet</w:t>
      </w:r>
    </w:p>
    <w:p w:rsidR="007B3A02" w:rsidRDefault="002143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16</w:t>
      </w:r>
      <w:r w:rsidR="00E55C11">
        <w:t>.mars 2018</w:t>
      </w:r>
    </w:p>
    <w:p w:rsidR="007B3A02" w:rsidRDefault="007B3A02"/>
    <w:p w:rsidR="00F609E9" w:rsidRPr="00601D6E" w:rsidRDefault="003E056F">
      <w:pPr>
        <w:rPr>
          <w:b/>
          <w:sz w:val="24"/>
          <w:szCs w:val="24"/>
        </w:rPr>
      </w:pPr>
      <w:r w:rsidRPr="00601D6E">
        <w:rPr>
          <w:b/>
          <w:sz w:val="24"/>
          <w:szCs w:val="24"/>
        </w:rPr>
        <w:t>Tømmertransport på bane</w:t>
      </w:r>
      <w:r w:rsidR="00E97BF2" w:rsidRPr="00601D6E">
        <w:rPr>
          <w:b/>
          <w:sz w:val="24"/>
          <w:szCs w:val="24"/>
        </w:rPr>
        <w:t xml:space="preserve"> er jernbanens suksesshistorie</w:t>
      </w:r>
      <w:r w:rsidRPr="00601D6E">
        <w:rPr>
          <w:b/>
          <w:sz w:val="24"/>
          <w:szCs w:val="24"/>
        </w:rPr>
        <w:t>, - det haster med tiltak!</w:t>
      </w:r>
    </w:p>
    <w:p w:rsidR="0099236E" w:rsidRDefault="003F1127">
      <w:r>
        <w:t>Vi viser til Bane Nor sitt innspill til jernbanesektorens Handlingsprogram for 20</w:t>
      </w:r>
      <w:r w:rsidR="00F609E9">
        <w:t xml:space="preserve">18-2029. Det er med stor </w:t>
      </w:r>
      <w:r w:rsidR="00E97BF2">
        <w:t>forundring</w:t>
      </w:r>
      <w:r>
        <w:t xml:space="preserve"> vi i skogsektoren nå registrerer at </w:t>
      </w:r>
      <w:r w:rsidR="00F609E9">
        <w:t>flere</w:t>
      </w:r>
      <w:r>
        <w:t xml:space="preserve"> av tiltakene i Godspakke Innlandet er skjøvet ut i tid.</w:t>
      </w:r>
    </w:p>
    <w:p w:rsidR="003F1127" w:rsidRDefault="003F1127">
      <w:r>
        <w:t xml:space="preserve">Næringen har ved flere anledninger påpekt den prekære situasjonen på Norsenga tømmerterminal på Kongsvinger. </w:t>
      </w:r>
      <w:r w:rsidRPr="003F1127">
        <w:t>D</w:t>
      </w:r>
      <w:r>
        <w:t>et er her den v</w:t>
      </w:r>
      <w:r w:rsidRPr="003F1127">
        <w:t>irkelige flaskehals</w:t>
      </w:r>
      <w:r w:rsidR="005C1CE7">
        <w:t>en</w:t>
      </w:r>
      <w:r w:rsidRPr="003F1127">
        <w:t xml:space="preserve"> for den samlede virkestransporten på bane </w:t>
      </w:r>
      <w:r>
        <w:t xml:space="preserve">er. </w:t>
      </w:r>
      <w:r w:rsidR="00EF3F00" w:rsidRPr="00214303">
        <w:t>Nor</w:t>
      </w:r>
      <w:r w:rsidR="004E308F">
        <w:t>s</w:t>
      </w:r>
      <w:r w:rsidR="00EF3F00" w:rsidRPr="00214303">
        <w:t>enga skiller</w:t>
      </w:r>
      <w:r w:rsidRPr="00214303">
        <w:t xml:space="preserve"> seg fra andre terminaler fordi den </w:t>
      </w:r>
      <w:r w:rsidR="00214303" w:rsidRPr="00214303">
        <w:t xml:space="preserve">i tillegg til å være </w:t>
      </w:r>
      <w:r w:rsidRPr="00214303">
        <w:t>omlas</w:t>
      </w:r>
      <w:r w:rsidR="00214303" w:rsidRPr="00214303">
        <w:t>tingsplass fra vei til bane, også</w:t>
      </w:r>
      <w:r w:rsidRPr="00214303">
        <w:t xml:space="preserve"> har en viktig funksjon for å koble to mindre </w:t>
      </w:r>
      <w:r w:rsidR="00214303">
        <w:t>vognsett sammen til ett, før det</w:t>
      </w:r>
      <w:r w:rsidRPr="00214303">
        <w:t xml:space="preserve"> kan fortsette. Her </w:t>
      </w:r>
      <w:r>
        <w:t xml:space="preserve">er kapasiteten på rundt 700.000 m3, mens behovet er på </w:t>
      </w:r>
      <w:r w:rsidR="0066772F">
        <w:t xml:space="preserve">sikt er </w:t>
      </w:r>
      <w:r>
        <w:t>rundt en million m3. Konsekvensen er at det overskytende volumet må ut langs vei, noe som rammer lønnsomheten og dermed viljen til å hogge. Det er med andre ord denne terminalen som er det svake leddet i terminalnettet, og som først og fremst må prioriteres. Dette er et velkjent faktum i næringen.</w:t>
      </w:r>
    </w:p>
    <w:p w:rsidR="00F609E9" w:rsidRDefault="003F1127">
      <w:r>
        <w:t>I tillegg til problemene på terminalen i Kongsvinger, er det av avgjørende betydning at tilsvingene på Elverum og Kongsvinger kommer raskt på plass. Dette vil avlaste trykket på terminalen.</w:t>
      </w:r>
      <w:r w:rsidR="00D61EEC" w:rsidRPr="00D61EEC">
        <w:t xml:space="preserve"> Det samme gjelder signalanlegget på Solørbanen, som er viktig for å få utnyttet kapasiteten og fleksibiliteten i infrastrukturen</w:t>
      </w:r>
      <w:r w:rsidR="00D61EEC" w:rsidRPr="00150B44">
        <w:rPr>
          <w:color w:val="FF0000"/>
        </w:rPr>
        <w:t>.</w:t>
      </w:r>
      <w:r w:rsidR="00425017">
        <w:t xml:space="preserve"> Krysningskapasiteten på Sol</w:t>
      </w:r>
      <w:r w:rsidR="00D61EEC">
        <w:t>ørbanen er også en utfordring som</w:t>
      </w:r>
      <w:r w:rsidR="00425017">
        <w:t xml:space="preserve"> må løses.</w:t>
      </w:r>
    </w:p>
    <w:p w:rsidR="003F1127" w:rsidRDefault="003F1127">
      <w:r>
        <w:t xml:space="preserve">I Bane Nor sine innspill står alle disse tiltakene anbefalt i perioden 2024-2029. Dette er totalt uakseptabelt. </w:t>
      </w:r>
      <w:r w:rsidR="00EF3F00">
        <w:t>Tiltakene på Solørbanen og terminalen på Kongsvinger må prioriteres før andre tiltak.</w:t>
      </w:r>
    </w:p>
    <w:p w:rsidR="00EF3F00" w:rsidRDefault="00EF3F00">
      <w:r>
        <w:t xml:space="preserve">Hvis Norge skal inn i dette grønne skiftet som alle snakker om, er det viktig at transportkapasiteten i det tyngste skogområdet raskt kommer på plass. Skogbruket har økt sine transporter på bane betydelig de siste årene. Det ville være </w:t>
      </w:r>
      <w:r w:rsidR="005C1CE7">
        <w:t>et stort nederlag</w:t>
      </w:r>
      <w:r>
        <w:t xml:space="preserve"> på mange plan, hvis vi nå må øke transporten av virke på vei.</w:t>
      </w:r>
    </w:p>
    <w:p w:rsidR="005C1CE7" w:rsidRDefault="005C1CE7">
      <w:r>
        <w:t>Vi ber derfor Jernbanedirektoratet om å opp-prioritere diss</w:t>
      </w:r>
      <w:r w:rsidR="00F609E9">
        <w:t>e nevnte tiltak.</w:t>
      </w:r>
    </w:p>
    <w:p w:rsidR="007117F2" w:rsidRPr="00E55C11" w:rsidRDefault="007117F2">
      <w:pPr>
        <w:rPr>
          <w:b/>
        </w:rPr>
      </w:pPr>
      <w:r w:rsidRPr="00E55C11">
        <w:rPr>
          <w:b/>
        </w:rPr>
        <w:t>Tømmer på bane er jernbanens suksesshistorie. Norsenga er navet og må utvikles slik at kapasiteten ikke begrenser hele kjeden.</w:t>
      </w:r>
    </w:p>
    <w:p w:rsidR="00F609E9" w:rsidRDefault="00F609E9"/>
    <w:p w:rsidR="00D25525" w:rsidRDefault="00E55C11">
      <w:r>
        <w:t xml:space="preserve">Med hilsen </w:t>
      </w:r>
    </w:p>
    <w:p w:rsidR="007B3A02" w:rsidRDefault="00E55C11">
      <w:bookmarkStart w:id="0" w:name="_GoBack"/>
      <w:bookmarkEnd w:id="0"/>
      <w:r>
        <w:t>på vegne av</w:t>
      </w:r>
    </w:p>
    <w:p w:rsidR="00E55C11" w:rsidRDefault="00E55C11">
      <w:r>
        <w:t>Johannes Begum (</w:t>
      </w:r>
      <w:proofErr w:type="spellStart"/>
      <w:r>
        <w:t>Mjøsen</w:t>
      </w:r>
      <w:proofErr w:type="spellEnd"/>
      <w:r>
        <w:t xml:space="preserve"> Skog), Gunnar Gundersen (Glommen Skog), Arne Ivar Øvergård (Stora Enso), Finn Arne Bjørnstad</w:t>
      </w:r>
      <w:r w:rsidR="00214303">
        <w:t xml:space="preserve"> (Norske Skog)</w:t>
      </w:r>
    </w:p>
    <w:p w:rsidR="00E55C11" w:rsidRDefault="0028488F">
      <w:r>
        <w:rPr>
          <w:rFonts w:ascii="Segoe UI Semibold" w:hAnsi="Segoe UI Semibold" w:cs="Segoe UI"/>
          <w:noProof/>
          <w:szCs w:val="19"/>
          <w:lang w:eastAsia="nb-NO"/>
        </w:rPr>
        <w:drawing>
          <wp:anchor distT="0" distB="0" distL="114300" distR="114300" simplePos="0" relativeHeight="251659264" behindDoc="1" locked="0" layoutInCell="1" allowOverlap="1" wp14:anchorId="5A9E397E" wp14:editId="03108A2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7804" cy="536358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the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804" cy="536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EF0" w:rsidRDefault="007B1EF0">
      <w:r>
        <w:t>Benthe E. Løvenskiold (NORSKOG)</w:t>
      </w:r>
    </w:p>
    <w:p w:rsidR="007B3A02" w:rsidRDefault="007B3A02"/>
    <w:p w:rsidR="007B3A02" w:rsidRDefault="007B3A02" w:rsidP="00053628">
      <w:pPr>
        <w:rPr>
          <w:b/>
        </w:rPr>
      </w:pPr>
    </w:p>
    <w:p w:rsidR="00053628" w:rsidRPr="00053628" w:rsidRDefault="00053628" w:rsidP="00053628">
      <w:pPr>
        <w:rPr>
          <w:b/>
        </w:rPr>
      </w:pPr>
      <w:r w:rsidRPr="00053628">
        <w:rPr>
          <w:b/>
        </w:rPr>
        <w:t>NORSENGA størst i volum, men «minst» i areal</w:t>
      </w:r>
    </w:p>
    <w:p w:rsidR="00053628" w:rsidRPr="00053628" w:rsidRDefault="00053628" w:rsidP="00053628">
      <w:r w:rsidRPr="00053628">
        <w:t>Hedmark er landets største skogfylke – NORSENGA er proppen i hele tømmertransporten på bane.</w:t>
      </w:r>
    </w:p>
    <w:p w:rsidR="00053628" w:rsidRPr="00053628" w:rsidRDefault="00053628" w:rsidP="00053628"/>
    <w:p w:rsidR="00053628" w:rsidRPr="00053628" w:rsidRDefault="00053628" w:rsidP="0005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053628">
        <w:tab/>
      </w:r>
      <w:r w:rsidRPr="00053628">
        <w:tab/>
      </w:r>
      <w:r w:rsidRPr="00053628">
        <w:tab/>
      </w:r>
      <w:r w:rsidRPr="00053628">
        <w:tab/>
        <w:t>2015</w:t>
      </w:r>
      <w:r w:rsidRPr="00053628">
        <w:tab/>
      </w:r>
      <w:r w:rsidRPr="00053628">
        <w:tab/>
      </w:r>
      <w:r w:rsidRPr="00053628">
        <w:tab/>
        <w:t>2017</w:t>
      </w:r>
      <w:r w:rsidRPr="00053628">
        <w:tab/>
      </w:r>
      <w:r w:rsidRPr="00053628">
        <w:tab/>
      </w:r>
      <w:r w:rsidRPr="00053628">
        <w:tab/>
        <w:t>Behov</w:t>
      </w:r>
      <w:r w:rsidR="0066772F">
        <w:t xml:space="preserve"> på sikt</w:t>
      </w:r>
    </w:p>
    <w:p w:rsidR="00053628" w:rsidRPr="00053628" w:rsidRDefault="00053628" w:rsidP="0005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053628">
        <w:t>Opplastet m3 pr år</w:t>
      </w:r>
      <w:r w:rsidRPr="00053628">
        <w:tab/>
      </w:r>
      <w:r>
        <w:tab/>
      </w:r>
      <w:r w:rsidRPr="00053628">
        <w:t>590.000</w:t>
      </w:r>
      <w:r w:rsidRPr="00053628">
        <w:tab/>
      </w:r>
      <w:r w:rsidRPr="00053628">
        <w:tab/>
        <w:t>710.000</w:t>
      </w:r>
      <w:r w:rsidRPr="00053628">
        <w:tab/>
      </w:r>
      <w:r w:rsidRPr="00053628">
        <w:tab/>
        <w:t>1.000.000</w:t>
      </w:r>
    </w:p>
    <w:p w:rsidR="00053628" w:rsidRPr="00053628" w:rsidRDefault="00053628" w:rsidP="00053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</w:pPr>
      <w:r w:rsidRPr="00053628">
        <w:t>Lagringskapasitet</w:t>
      </w:r>
      <w:r w:rsidRPr="00053628">
        <w:tab/>
      </w:r>
      <w:proofErr w:type="gramStart"/>
      <w:r w:rsidRPr="00053628">
        <w:tab/>
        <w:t xml:space="preserve">  27.</w:t>
      </w:r>
      <w:proofErr w:type="gramEnd"/>
      <w:r w:rsidRPr="00053628">
        <w:t>000</w:t>
      </w:r>
      <w:r w:rsidRPr="00053628">
        <w:tab/>
      </w:r>
      <w:r w:rsidRPr="00053628">
        <w:tab/>
        <w:t xml:space="preserve"> 25.000</w:t>
      </w:r>
      <w:r w:rsidRPr="00053628">
        <w:tab/>
      </w:r>
      <w:r w:rsidRPr="00053628">
        <w:tab/>
        <w:t xml:space="preserve"> </w:t>
      </w:r>
      <w:r w:rsidR="00F609E9">
        <w:tab/>
      </w:r>
      <w:r w:rsidRPr="00053628">
        <w:t xml:space="preserve">  100.000</w:t>
      </w:r>
      <w:r w:rsidRPr="00053628">
        <w:tab/>
      </w:r>
    </w:p>
    <w:p w:rsidR="00053628" w:rsidRPr="00053628" w:rsidRDefault="00053628" w:rsidP="00053628"/>
    <w:p w:rsidR="00053628" w:rsidRPr="00053628" w:rsidRDefault="00053628" w:rsidP="00053628">
      <w:pPr>
        <w:rPr>
          <w:b/>
        </w:rPr>
      </w:pPr>
      <w:r w:rsidRPr="00053628">
        <w:rPr>
          <w:b/>
        </w:rPr>
        <w:t>Hvorfor haster det med ny terminal?</w:t>
      </w:r>
    </w:p>
    <w:p w:rsidR="00053628" w:rsidRPr="00053628" w:rsidRDefault="005A0935" w:rsidP="00053628">
      <w:pPr>
        <w:pStyle w:val="Listeavsnitt"/>
        <w:numPr>
          <w:ilvl w:val="0"/>
          <w:numId w:val="1"/>
        </w:numPr>
      </w:pPr>
      <w:r>
        <w:rPr>
          <w:rFonts w:eastAsia="Times New Roman"/>
        </w:rPr>
        <w:t xml:space="preserve">Den optimale kombinasjonen </w:t>
      </w:r>
      <w:r w:rsidR="007D1DB4">
        <w:rPr>
          <w:rFonts w:eastAsia="Times New Roman"/>
        </w:rPr>
        <w:t>bil - jernbane</w:t>
      </w:r>
      <w:r>
        <w:rPr>
          <w:rFonts w:eastAsia="Times New Roman"/>
        </w:rPr>
        <w:t>, forutsetter at tømmer ikke kjøres på bil lenger enn 60-70 km</w:t>
      </w:r>
      <w:r w:rsidR="007D1DB4">
        <w:rPr>
          <w:rFonts w:eastAsia="Times New Roman"/>
        </w:rPr>
        <w:t xml:space="preserve"> </w:t>
      </w:r>
      <w:r w:rsidR="00053628" w:rsidRPr="00053628">
        <w:t>- &gt; skogen blir stående-&gt; tapt norsk verdiskaping</w:t>
      </w:r>
    </w:p>
    <w:p w:rsidR="00053628" w:rsidRPr="00053628" w:rsidRDefault="00053628" w:rsidP="00053628">
      <w:pPr>
        <w:pStyle w:val="Listeavsnitt"/>
        <w:numPr>
          <w:ilvl w:val="0"/>
          <w:numId w:val="1"/>
        </w:numPr>
      </w:pPr>
      <w:r w:rsidRPr="00053628">
        <w:t>Alle aktørene kommer ikke til - Ikke konkurransenøytralt</w:t>
      </w:r>
    </w:p>
    <w:p w:rsidR="00053628" w:rsidRPr="00053628" w:rsidRDefault="00053628" w:rsidP="00053628">
      <w:pPr>
        <w:numPr>
          <w:ilvl w:val="0"/>
          <w:numId w:val="1"/>
        </w:numPr>
        <w:spacing w:line="256" w:lineRule="auto"/>
      </w:pPr>
      <w:r w:rsidRPr="00053628">
        <w:t xml:space="preserve">Konsolideringen er ikke effektiv – aktørene får ikke utnyttet den fulle verdien av togtransport </w:t>
      </w:r>
    </w:p>
    <w:p w:rsidR="00053628" w:rsidRPr="00053628" w:rsidRDefault="00053628" w:rsidP="00053628">
      <w:pPr>
        <w:numPr>
          <w:ilvl w:val="0"/>
          <w:numId w:val="1"/>
        </w:numPr>
        <w:spacing w:line="256" w:lineRule="auto"/>
      </w:pPr>
      <w:r w:rsidRPr="00053628">
        <w:t>Avbøtende tiltak er ingen løsning, bare fordyrende</w:t>
      </w:r>
    </w:p>
    <w:p w:rsidR="00053628" w:rsidRPr="00053628" w:rsidRDefault="00053628" w:rsidP="00053628">
      <w:pPr>
        <w:numPr>
          <w:ilvl w:val="0"/>
          <w:numId w:val="1"/>
        </w:numPr>
        <w:spacing w:line="256" w:lineRule="auto"/>
      </w:pPr>
      <w:r w:rsidRPr="00053628">
        <w:t>Lossingen av tømmerbilene tar 10-15 minutter lenger tid enn det burde ha gjort</w:t>
      </w:r>
    </w:p>
    <w:p w:rsidR="00053628" w:rsidRPr="00053628" w:rsidRDefault="00053628" w:rsidP="00053628">
      <w:pPr>
        <w:numPr>
          <w:ilvl w:val="0"/>
          <w:numId w:val="1"/>
        </w:numPr>
        <w:spacing w:line="256" w:lineRule="auto"/>
      </w:pPr>
      <w:r w:rsidRPr="00053628">
        <w:t>Verdien av tapt arbeidstid for transportørene med 960 kr/time, 10 minutter tapt tid og 44 m3 per lass = 2,58 mill. kroner per år</w:t>
      </w:r>
    </w:p>
    <w:p w:rsidR="00053628" w:rsidRPr="00053628" w:rsidRDefault="007D1DB4" w:rsidP="00053628">
      <w:pPr>
        <w:numPr>
          <w:ilvl w:val="0"/>
          <w:numId w:val="1"/>
        </w:numPr>
        <w:spacing w:line="256" w:lineRule="auto"/>
      </w:pPr>
      <w:r>
        <w:t>Vi kan ikke fortsett med ekstrakostnaden med at c</w:t>
      </w:r>
      <w:r w:rsidR="00053628" w:rsidRPr="00053628">
        <w:t xml:space="preserve">a. 60 % av volumet må flyttes en gang til på grunn av plassmangel. </w:t>
      </w:r>
    </w:p>
    <w:p w:rsidR="00053628" w:rsidRPr="00053628" w:rsidRDefault="00053628" w:rsidP="00053628">
      <w:pPr>
        <w:numPr>
          <w:ilvl w:val="0"/>
          <w:numId w:val="1"/>
        </w:numPr>
        <w:spacing w:line="256" w:lineRule="auto"/>
      </w:pPr>
      <w:r w:rsidRPr="00053628">
        <w:t>Nytten av tilsvingen reduseres hvis ikke terminalen flyttes</w:t>
      </w:r>
    </w:p>
    <w:p w:rsidR="00053628" w:rsidRPr="00053628" w:rsidRDefault="00053628" w:rsidP="00053628">
      <w:pPr>
        <w:numPr>
          <w:ilvl w:val="0"/>
          <w:numId w:val="1"/>
        </w:numPr>
        <w:spacing w:line="256" w:lineRule="auto"/>
      </w:pPr>
      <w:r w:rsidRPr="00053628">
        <w:t>Skognæringen trenger et nasjonalt transportknutepunkt også av beredskapshensyn (naturkatastrofer, industrinedleggelse ol)</w:t>
      </w:r>
    </w:p>
    <w:p w:rsidR="00053628" w:rsidRPr="00053628" w:rsidRDefault="00053628" w:rsidP="00053628">
      <w:pPr>
        <w:numPr>
          <w:ilvl w:val="0"/>
          <w:numId w:val="1"/>
        </w:numPr>
        <w:spacing w:line="256" w:lineRule="auto"/>
      </w:pPr>
      <w:r w:rsidRPr="00053628">
        <w:t>Nytte for storsamfunnet, både gjennom reduserte miljøkostnader, trafikksikkerhet og samfunnsøkonomiske ringvirkninger av økt avvirkning</w:t>
      </w:r>
    </w:p>
    <w:p w:rsidR="00053628" w:rsidRDefault="00053628"/>
    <w:p w:rsidR="00E55C11" w:rsidRDefault="00E55C11"/>
    <w:p w:rsidR="00E55C11" w:rsidRDefault="001D4366">
      <w:r>
        <w:t>Kopi til:</w:t>
      </w:r>
    </w:p>
    <w:p w:rsidR="001D4366" w:rsidRDefault="001D4366">
      <w:r>
        <w:t>Bane Nor</w:t>
      </w:r>
    </w:p>
    <w:p w:rsidR="001D4366" w:rsidRDefault="001D4366">
      <w:r>
        <w:t>Hedmark Fylkeskommune</w:t>
      </w:r>
    </w:p>
    <w:p w:rsidR="001D4366" w:rsidRDefault="001D4366">
      <w:r>
        <w:t>Kongsvinger kommune</w:t>
      </w:r>
    </w:p>
    <w:sectPr w:rsidR="001D4366" w:rsidSect="007B3A02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EF3" w:rsidRDefault="00984EF3" w:rsidP="009A77FA">
      <w:pPr>
        <w:spacing w:after="0" w:line="240" w:lineRule="auto"/>
      </w:pPr>
      <w:r>
        <w:separator/>
      </w:r>
    </w:p>
  </w:endnote>
  <w:endnote w:type="continuationSeparator" w:id="0">
    <w:p w:rsidR="00984EF3" w:rsidRDefault="00984EF3" w:rsidP="009A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EF3" w:rsidRDefault="00984EF3" w:rsidP="009A77FA">
      <w:pPr>
        <w:spacing w:after="0" w:line="240" w:lineRule="auto"/>
      </w:pPr>
      <w:r>
        <w:separator/>
      </w:r>
    </w:p>
  </w:footnote>
  <w:footnote w:type="continuationSeparator" w:id="0">
    <w:p w:rsidR="00984EF3" w:rsidRDefault="00984EF3" w:rsidP="009A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7FA" w:rsidRDefault="007B3A02">
    <w:pPr>
      <w:pStyle w:val="Topptekst"/>
    </w:pPr>
    <w:r>
      <w:rPr>
        <w:noProof/>
        <w:lang w:eastAsia="nb-NO"/>
      </w:rPr>
      <w:drawing>
        <wp:inline distT="0" distB="0" distL="0" distR="0" wp14:anchorId="27F0CA22" wp14:editId="77D60C07">
          <wp:extent cx="1663700" cy="475344"/>
          <wp:effectExtent l="0" t="0" r="0" b="1270"/>
          <wp:docPr id="4" name="Bilde 4" descr="Glommen Sk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lommen Sk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165" cy="491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7B9D">
      <w:rPr>
        <w:noProof/>
      </w:rPr>
      <w:t xml:space="preserve">          </w:t>
    </w:r>
    <w:r>
      <w:rPr>
        <w:noProof/>
        <w:lang w:eastAsia="nb-NO"/>
      </w:rPr>
      <w:drawing>
        <wp:inline distT="0" distB="0" distL="0" distR="0" wp14:anchorId="2979604B" wp14:editId="33498E58">
          <wp:extent cx="1626870" cy="381000"/>
          <wp:effectExtent l="0" t="0" r="0" b="0"/>
          <wp:docPr id="6" name="Bild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7B9D">
      <w:t xml:space="preserve">               </w:t>
    </w:r>
    <w:r w:rsidR="00F67B9D" w:rsidRPr="00F67B9D">
      <w:rPr>
        <w:noProof/>
        <w:lang w:eastAsia="nb-NO"/>
      </w:rPr>
      <w:drawing>
        <wp:inline distT="0" distB="0" distL="0" distR="0" wp14:anchorId="378E976B" wp14:editId="0F9E89F8">
          <wp:extent cx="1600200" cy="277368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90937" cy="293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7B9D">
      <w:t xml:space="preserve"> </w:t>
    </w:r>
    <w:r w:rsidR="00F67B9D" w:rsidRPr="00F67B9D">
      <w:rPr>
        <w:noProof/>
        <w:lang w:eastAsia="nb-NO"/>
      </w:rPr>
      <w:drawing>
        <wp:inline distT="0" distB="0" distL="0" distR="0" wp14:anchorId="752776A6" wp14:editId="158C0A84">
          <wp:extent cx="1803400" cy="456915"/>
          <wp:effectExtent l="0" t="0" r="6350" b="63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64498" cy="47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303">
      <w:rPr>
        <w:noProof/>
        <w:lang w:eastAsia="nb-NO"/>
      </w:rPr>
      <w:t xml:space="preserve">                                           </w:t>
    </w:r>
    <w:r w:rsidR="00F67B9D">
      <w:rPr>
        <w:noProof/>
        <w:lang w:eastAsia="nb-NO"/>
      </w:rPr>
      <w:drawing>
        <wp:inline distT="0" distB="0" distL="0" distR="0" wp14:anchorId="636F325E" wp14:editId="79E2FF86">
          <wp:extent cx="804545" cy="817245"/>
          <wp:effectExtent l="0" t="0" r="0" b="1905"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0AD"/>
    <w:multiLevelType w:val="hybridMultilevel"/>
    <w:tmpl w:val="5E74039A"/>
    <w:lvl w:ilvl="0" w:tplc="84A2B0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4EB3"/>
    <w:multiLevelType w:val="hybridMultilevel"/>
    <w:tmpl w:val="C164C3C8"/>
    <w:lvl w:ilvl="0" w:tplc="F84657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27"/>
    <w:rsid w:val="00053628"/>
    <w:rsid w:val="001419AA"/>
    <w:rsid w:val="00150B44"/>
    <w:rsid w:val="00186F26"/>
    <w:rsid w:val="001B3D8C"/>
    <w:rsid w:val="001D4366"/>
    <w:rsid w:val="00214303"/>
    <w:rsid w:val="0028488F"/>
    <w:rsid w:val="002C43FF"/>
    <w:rsid w:val="00370D2F"/>
    <w:rsid w:val="003D354A"/>
    <w:rsid w:val="003E056F"/>
    <w:rsid w:val="003F1127"/>
    <w:rsid w:val="00425017"/>
    <w:rsid w:val="00443118"/>
    <w:rsid w:val="004C08EA"/>
    <w:rsid w:val="004E308F"/>
    <w:rsid w:val="005A0935"/>
    <w:rsid w:val="005C1CE7"/>
    <w:rsid w:val="00601D6E"/>
    <w:rsid w:val="0066772F"/>
    <w:rsid w:val="0068039C"/>
    <w:rsid w:val="006848E0"/>
    <w:rsid w:val="007117F2"/>
    <w:rsid w:val="00743D70"/>
    <w:rsid w:val="007B1EF0"/>
    <w:rsid w:val="007B3A02"/>
    <w:rsid w:val="007D1DB4"/>
    <w:rsid w:val="007D441C"/>
    <w:rsid w:val="00984EF3"/>
    <w:rsid w:val="0099236E"/>
    <w:rsid w:val="009A77FA"/>
    <w:rsid w:val="009B60BB"/>
    <w:rsid w:val="009C6F9E"/>
    <w:rsid w:val="00A01218"/>
    <w:rsid w:val="00C70370"/>
    <w:rsid w:val="00C92C42"/>
    <w:rsid w:val="00D25525"/>
    <w:rsid w:val="00D61EEC"/>
    <w:rsid w:val="00E55C11"/>
    <w:rsid w:val="00E97BF2"/>
    <w:rsid w:val="00EF3F00"/>
    <w:rsid w:val="00F609E9"/>
    <w:rsid w:val="00F67B9D"/>
    <w:rsid w:val="00FE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3F482"/>
  <w15:chartTrackingRefBased/>
  <w15:docId w15:val="{695B573B-FE54-462E-9D2D-965F970F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53628"/>
    <w:pPr>
      <w:spacing w:line="256" w:lineRule="auto"/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A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A77FA"/>
  </w:style>
  <w:style w:type="paragraph" w:styleId="Bunntekst">
    <w:name w:val="footer"/>
    <w:basedOn w:val="Normal"/>
    <w:link w:val="BunntekstTegn"/>
    <w:uiPriority w:val="99"/>
    <w:unhideWhenUsed/>
    <w:rsid w:val="009A7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A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Benthe Lovenskiold</dc:creator>
  <cp:keywords/>
  <dc:description/>
  <cp:lastModifiedBy>Benthe Lovenskiold</cp:lastModifiedBy>
  <cp:revision>8</cp:revision>
  <cp:lastPrinted>2018-03-16T15:39:00Z</cp:lastPrinted>
  <dcterms:created xsi:type="dcterms:W3CDTF">2018-03-16T09:51:00Z</dcterms:created>
  <dcterms:modified xsi:type="dcterms:W3CDTF">2018-03-16T15:40:00Z</dcterms:modified>
</cp:coreProperties>
</file>